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6C" w:rsidRPr="004E6CA0" w:rsidRDefault="009C436C" w:rsidP="009C436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Татуйко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</w:t>
      </w:r>
    </w:p>
    <w:p w:rsidR="009C436C" w:rsidRPr="004E6CA0" w:rsidRDefault="009C436C" w:rsidP="009C436C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proofErr w:type="gram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</w:p>
    <w:p w:rsidR="009C436C" w:rsidRPr="004E6CA0" w:rsidRDefault="009C436C" w:rsidP="009C436C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ДДиЮ «Факел»</w:t>
      </w:r>
    </w:p>
    <w:p w:rsidR="009C436C" w:rsidRPr="004E6CA0" w:rsidRDefault="009C436C" w:rsidP="009C436C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36C" w:rsidRPr="00680CED" w:rsidRDefault="009C436C" w:rsidP="009C436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национального характера русских как методологическое основание формирование положительной этнич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еской самоидентификации русских</w:t>
      </w:r>
    </w:p>
    <w:p w:rsidR="009C436C" w:rsidRPr="004E6CA0" w:rsidRDefault="009C436C" w:rsidP="009C436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A0">
        <w:rPr>
          <w:rFonts w:ascii="Times New Roman" w:hAnsi="Times New Roman" w:cs="Times New Roman"/>
          <w:sz w:val="28"/>
          <w:szCs w:val="28"/>
        </w:rPr>
        <w:t xml:space="preserve">В России с конца </w:t>
      </w:r>
      <w:r w:rsidRPr="004E6C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6CA0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4E6C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E6CA0">
        <w:rPr>
          <w:rFonts w:ascii="Times New Roman" w:hAnsi="Times New Roman" w:cs="Times New Roman"/>
          <w:sz w:val="28"/>
          <w:szCs w:val="28"/>
        </w:rPr>
        <w:t xml:space="preserve"> в. произошли серьезные изменения: распад СССР, процессы глобализации и модернизации, которые привели к разрушению гражданской идентичности «советский человек». С началом трансформационных процессов русские оказываются в состоянии идентификационной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, в том, числе и этнической (по данным исследования ВЦИОМ). Ученые выявили несколько причин идентификационной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 русских: 1) разрушение устойчивости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институционализированных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 образцов социального поведения; 2) активизация процессов этнической идентичности других этносов; 3) изменение идеологической роли русских на территории бывшего СССР – от позиции «старшего брата», до простого этнического большинства (или меньшинства в странах СНГ); 4) внедрение западных «универсальных ценностей» (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Э.В.Садретдинова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, Н.Г. Скворцов и К.Н.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>). [7; 8]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A0">
        <w:rPr>
          <w:rFonts w:ascii="Times New Roman" w:hAnsi="Times New Roman" w:cs="Times New Roman"/>
          <w:sz w:val="28"/>
          <w:szCs w:val="28"/>
        </w:rPr>
        <w:t xml:space="preserve"> По мнению К.Н.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 в условиях кризиса идентичности, наиболее устойчивой формой идентификации становится этническая идентификация, которая удовлетворяет потребности личности в защите и принадлежности к группе. Что автоматически способствует консолидации этноса и сохранению уникальности этнической культуры. [8]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A0">
        <w:rPr>
          <w:rFonts w:ascii="Times New Roman" w:hAnsi="Times New Roman" w:cs="Times New Roman"/>
          <w:sz w:val="28"/>
          <w:szCs w:val="28"/>
        </w:rPr>
        <w:t xml:space="preserve"> Сегодня в России процессы этнической идентификации особенно ярко проявляется в полиэтнических обществах (Э.В.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>). [7]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A0">
        <w:rPr>
          <w:rFonts w:ascii="Times New Roman" w:hAnsi="Times New Roman" w:cs="Times New Roman"/>
          <w:sz w:val="28"/>
          <w:szCs w:val="28"/>
        </w:rPr>
        <w:t>Исторически наша страна является полиэтническим государством, в котором проживают многочисленные народы и народности. На современном этапе развития Российская Федерация унаследовала следующий полиэтнический состав населения: нерусское население составляет о</w:t>
      </w:r>
      <w:r>
        <w:rPr>
          <w:rFonts w:ascii="Times New Roman" w:hAnsi="Times New Roman" w:cs="Times New Roman"/>
          <w:sz w:val="28"/>
          <w:szCs w:val="28"/>
        </w:rPr>
        <w:t xml:space="preserve">коло 18 % </w:t>
      </w:r>
      <w:r w:rsidRPr="004E6CA0">
        <w:rPr>
          <w:rFonts w:ascii="Times New Roman" w:hAnsi="Times New Roman" w:cs="Times New Roman"/>
          <w:sz w:val="28"/>
          <w:szCs w:val="28"/>
        </w:rPr>
        <w:t>и включает представителей более 170 этносов.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4E6CA0">
        <w:rPr>
          <w:rFonts w:ascii="Times New Roman" w:hAnsi="Times New Roman" w:cs="Times New Roman"/>
          <w:sz w:val="28"/>
          <w:szCs w:val="28"/>
        </w:rPr>
        <w:t xml:space="preserve"> Социокультурная интеграция, (предполагающая взаимодействие между постоянно приживающими этносами в России) и дополняется взаимодействиями с мигрантами. Этническая и культурная разнородность российского общества будет усиливаться, так, как в числе мигрантов </w:t>
      </w:r>
      <w:r w:rsidRPr="004E6CA0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увеличивается доля выходцев из стран дальнего зарубежья (Китай, Вьетнам и др.). Также растет количество молодых мигрантов из ближнего зарубежья, социализация, которых приходиться на период после распада СССР и советской системы образования. Следовательно, их культурные отличия от населения принимающих регионов выражены более существенно, чем у их родителей. Ряд исследователей считает, что стремление к безопасности в среде мигрантов приводит к смене акцентов в идентификационных процессах с макро – на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мезоуровень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>, поэтому меньшинство быстрее консолидируются, чем большинство. [7;8]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CA0">
        <w:rPr>
          <w:rFonts w:ascii="Times New Roman" w:hAnsi="Times New Roman" w:cs="Times New Roman"/>
          <w:bCs/>
          <w:sz w:val="28"/>
          <w:szCs w:val="28"/>
        </w:rPr>
        <w:t xml:space="preserve">В ближайшее время в России проблема сохранения этнической идентичности, поиска себя на индивидуальном уровне (целостности «Я»), на групповом и </w:t>
      </w:r>
      <w:proofErr w:type="spellStart"/>
      <w:r w:rsidRPr="004E6CA0">
        <w:rPr>
          <w:rFonts w:ascii="Times New Roman" w:hAnsi="Times New Roman" w:cs="Times New Roman"/>
          <w:bCs/>
          <w:sz w:val="28"/>
          <w:szCs w:val="28"/>
        </w:rPr>
        <w:t>социетальном</w:t>
      </w:r>
      <w:proofErr w:type="spellEnd"/>
      <w:r w:rsidRPr="004E6CA0">
        <w:rPr>
          <w:rFonts w:ascii="Times New Roman" w:hAnsi="Times New Roman" w:cs="Times New Roman"/>
          <w:bCs/>
          <w:sz w:val="28"/>
          <w:szCs w:val="28"/>
        </w:rPr>
        <w:t xml:space="preserve"> уровнях (место России в условиях глобализации мирового сообщества, обоснование и сохранение её уникальности) остается крайне острой и актуальной. 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A0">
        <w:rPr>
          <w:rFonts w:ascii="Times New Roman" w:hAnsi="Times New Roman" w:cs="Times New Roman"/>
          <w:bCs/>
          <w:sz w:val="28"/>
          <w:szCs w:val="28"/>
        </w:rPr>
        <w:t>Преодоление этого кризиса возможно в рамках воспитания и социализации подрастающего поколения россиян.</w:t>
      </w:r>
      <w:r w:rsidRPr="004E6CA0">
        <w:rPr>
          <w:rFonts w:ascii="Times New Roman" w:hAnsi="Times New Roman" w:cs="Times New Roman"/>
          <w:sz w:val="28"/>
          <w:szCs w:val="28"/>
        </w:rPr>
        <w:t xml:space="preserve"> Что нашло свое отражение в Стратегии развития воспитания в РФ на период до 2025г (утверждена приказом № 916 от 28 мая 2015г), где Президентом Российской Федерации В.В. Путиным сформулированы главные ориентиры воспитания</w:t>
      </w:r>
      <w:r w:rsidRPr="004E6CA0">
        <w:rPr>
          <w:rFonts w:ascii="Times New Roman" w:hAnsi="Times New Roman" w:cs="Times New Roman"/>
          <w:bCs/>
          <w:sz w:val="28"/>
          <w:szCs w:val="28"/>
        </w:rPr>
        <w:t>:</w:t>
      </w:r>
      <w:r w:rsidRPr="004E6CA0">
        <w:rPr>
          <w:rFonts w:ascii="Times New Roman" w:hAnsi="Times New Roman" w:cs="Times New Roman"/>
          <w:sz w:val="28"/>
          <w:szCs w:val="28"/>
        </w:rPr>
        <w:t xml:space="preserve"> «Формирование гармоничной личности, воспитания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A0">
        <w:rPr>
          <w:rFonts w:ascii="Times New Roman" w:hAnsi="Times New Roman" w:cs="Times New Roman"/>
          <w:bCs/>
          <w:sz w:val="28"/>
          <w:szCs w:val="28"/>
        </w:rPr>
        <w:t xml:space="preserve"> В федеральных государственных образовательных стандартах на основании национального воспитательного идеала определены не только педагогическая цель, но и ступени духовно- нравственного развития и воспитания личности средствами базовых национальных ценностей и традиционных источников нравственности и человечности </w:t>
      </w:r>
      <w:r w:rsidRPr="004E6CA0">
        <w:rPr>
          <w:rFonts w:ascii="Times New Roman" w:hAnsi="Times New Roman" w:cs="Times New Roman"/>
          <w:sz w:val="28"/>
          <w:szCs w:val="28"/>
        </w:rPr>
        <w:t>(ФГОС, Приказ Минобразования науки России от 31. 12. 2015г. №1578).</w:t>
      </w:r>
    </w:p>
    <w:p w:rsidR="009C436C" w:rsidRPr="004E6CA0" w:rsidRDefault="009C436C" w:rsidP="009C436C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6CA0">
        <w:rPr>
          <w:rFonts w:ascii="Times New Roman" w:hAnsi="Times New Roman" w:cs="Times New Roman"/>
          <w:bCs/>
          <w:sz w:val="28"/>
          <w:szCs w:val="28"/>
        </w:rPr>
        <w:t>Таким образом, перед педагогической общественностью поставлена сложная задача воспитания</w:t>
      </w:r>
      <w:r w:rsidRPr="004E6CA0">
        <w:rPr>
          <w:rFonts w:ascii="Times New Roman" w:hAnsi="Times New Roman" w:cs="Times New Roman"/>
          <w:sz w:val="28"/>
          <w:szCs w:val="28"/>
        </w:rPr>
        <w:t xml:space="preserve"> у детей культуры межэтнического общения, при условии сохранения своеобразия и уникальности национальной культуры и этнической идентичности граждан Российской Федерации.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A0">
        <w:rPr>
          <w:rFonts w:ascii="Times New Roman" w:hAnsi="Times New Roman" w:cs="Times New Roman"/>
          <w:sz w:val="28"/>
          <w:szCs w:val="28"/>
        </w:rPr>
        <w:t xml:space="preserve">В настоящее время исследователями установлено, что сохранение национальной культуры осуществляется через трансляцию национальных традиций и базовых ценностей от поколения к поколению (В.А.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Вакаеев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Кохичко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Лазарян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, Э.С. Маркарян, Ю.В. Филиппов и др.). Обеспечение трансляции социального опыта этноса подрастающему поколению определятся как способ этнокультурного воспитания, в том числе и формирование этнической самоидентификации детей и подростков. (И..Н. Александрова, В.И.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Байгутанов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, А. Н. Басова, В.А.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Вакаеев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Кохичко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, Н.Н. Попова, Ю.В. Филиппов, В.Ю.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Хотинец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>).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A0">
        <w:rPr>
          <w:rFonts w:ascii="Times New Roman" w:hAnsi="Times New Roman" w:cs="Times New Roman"/>
          <w:sz w:val="28"/>
          <w:szCs w:val="28"/>
        </w:rPr>
        <w:lastRenderedPageBreak/>
        <w:t>В реальных условиях существующего уклада школьной жизни (который влияет на организацию и содержание урочной, внеурочной и внешкольной деятельности школьников) недостаточно сформированы представления как о способах формирования положительной этнической самоидентификации обучающихся, так и об условия их реализации.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формирования положительной этнической самоидентификации предполагает понимание особенностей характера «духа» народа, «национального характера».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отечественной науке до 90 х годов прошлого века не было серьезных попыток изучения особенностей национального характера. Прежде всего, причина данной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связана с позицией партии.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о проблемах российской ментальности развернулись на страницах журнала "Во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 философии". В редакции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журнала, был организован "круглый стол".  На заседании «стола» обсуждались вопросы направленности и ценностного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российской ментальности.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проблемы были выдвинуты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характеристики российской ментальности, как: открытость или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всеотзывчивость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личного сознания, «…разрыв между настоящим и будущим, исключительная поглощенность будущим…». [6]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Т.Г. Стефаненко и А.П. Огурцов считают, что этот набор характеристик не может служить объяснением особости русского народа, как, и любого другого народа.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] Так как любое перечисление качеств и даже различное их сочетание не отражает всей глубины проблемы. Потому, что против каждой из этих характеристик можно найти контраргументы.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Стефаненко предлагает рассматривать проблему российской ментальности с точки зрения концепции С.В. Лурье, т.е.  </w:t>
      </w:r>
      <w:proofErr w:type="gram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</w:t>
      </w:r>
      <w:proofErr w:type="gram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ментальности этнических констант. [6;3]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 России еще в 1926 году 82 % населения составляли крестьяне и 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18% были городские жители. Итак,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В.Лурье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в традиционной русской культуре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этнические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константы: в зоне локализации источника 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"добра" - община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локализация 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константы «зла" - государство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 "покровителя" -  царь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(концепт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царецентризм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").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Стефаненко рассматривает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категории более подробно. [6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веков община для русского крестьянина была не только хозяйственной единицей, но и социальным укладом в жизни, в буквальном смысле слова миром русского человека, которую сами крестьяне называли - "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миром",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"мир"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основы и предпосылки существования любого ее члена. Община - "мир" занимали центральное место в структуре социальной 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идентичности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крестьянина. [6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община отличалась от поземельных общин, существующих в других странах.  Татьяна Гавриловна определяет функции общины как ценностно -  ориентированные и защитные. При этом она   ссылается на   выводы Н.Н. Козловой, которая описывает социальные приемы "жизни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вместе" (взаимопомощь, вынужденную щедрость, общинную землю, разделение труда, многочисленные формы совместного проведения досуга и потребность во внешнем контроле). [6]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Сефаненко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положение С.В. Лурье о локализации источника "зла" в государстве, который постоянно находится в конфликте с народом. Лурье пишет: «…русские крестьяне были связаны со своим государством множеством тонких нервных нитей... эта связь никогда не была отношением гражданства и законности». Татьяна Гавриловна подчеркивает, что "психологическая общность" русских крестьян не включала государство в «мир" русского человека. 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веков в России отношения между государством и обществом можно рассматривать как межгрупповые, где государство является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высокостатусной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аутгруппой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понятием государство стоят его представители - чиновники). А чиновники всегда были "чужие" для народа. Поэтому государство воспринималось русским крестьянством как нечто чужеродное, вмешивающееся во внутреннюю жизнь общины.  Только в борьбе с общим врагом границы этих групп стирались, возникала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надгруппная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идентичность". [6] 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 анализа развития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этнопедагогического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в России мы можем смело говорить ментальных понятиях в народе, как Родина и Отечество (которые тоже не отождествлялись с государством).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С.В.Лурье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веру в доброго царя как способ психологической защиты в ответ на постоянный конфликт между народом и государством. В народе бытовало представление, что только "царь - батюшка" способен быть покровителем своего народа. При чем эти представления наполнялись различным содержанием в зависимости от периода развития русской государственности и личными качествами царя.  "Царь на протяжении   истории русской государственности воспринимался в народе как живой образ Бога - "помазанник Божий". Поэтому автоматически включался в сознании русского человека в мир Святой Руси. [3, с.115]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 отмечает, что идеальный образ   "батюшки царя" как покровителя русского народа воплотился в легенде об Александре </w:t>
      </w:r>
      <w:r w:rsidRPr="004E6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якобы не умершего в Таганроге, а "ушедшем в народ" и обосновавшегося в сибирском городе Томске под именем старца Федора Кузьмича. "С таким царем - мужиком была возможна полная идентификация русского крестьянина, иными словами, слияние царя и мира в общее "Мы». [3]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этнических констант, определяющих своеобразие русской ментальности С.В. Лурье выдвигает еще и некоторые 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действия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ведущие к победе добра над злом. К такому способу действия она относит: 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милосердие и бездействие.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.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Милосердие рассматривается русским народом 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противопоставление закону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связывался с сухим и бесчеловечным началом (отождествлялось с государством), а милосердие с милостью, жертвой и любовью (отождествлялось с общиной - миром).  Бездействие как способ борьбы добра со злом связывался в народе с понятием судьба и ролью в жизни человека "авось - отношения". [2]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 ссылается на конструкции в русском языке, что действительный мир противопоста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 желаниям и воли человека.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действовать в качестве активного субъекта " не судьба", что - то, "непонятное происходит вне нас... &lt;...&gt;, а события, происходящие внутри нас, наступают отнюдь не потому, что мы этого хотим". [2, с.266]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Вежбицкая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в русской лексике можно найти много примеров отражения отсутствия активного ответственного действия человека, например, удалось, вышло, повезло, посчастливилось. [1]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лингвисты отмечают, что в языке отражается русская ментальность, которая не предписывает человеку бороться с враждебными силами и привлекать позитивные силы на свою сторону, помогут "случай, чудо, везение и удача». [2, с. 267] Такова по мнению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Лурье картина мира русского крестьянина.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Стефаненко добавляет к ряду этнических констант русских крестьян, выделенных Лурье еще одну - представление о вероятности, с которой добро побеждает зло.  Исследователь изучила различные точки зрения на проблему русской ментальности оптимизм \ пессимизм. И пришла к выводу, что несмотря на то, что ни в зарубежной науке, ни отечественной нет единой точки по определению к чему более склонен русский народ к оптимизму или пассивному пессимизму и депрессиям. [6] 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Гавриловна подчеркивает, что тот или иной вектор выбора зависит от социально - экономических и политических событий в России. Однако, для русского человека жить "здесь и теперь" никогда не играло большого значения. Русский человек устремлен в будущее. Впереди его ждет желанное и совершенное будущее. «Русским свойственна уверенность в том, что все обойдется и добро непременно возобладает нал злом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 в будущем»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. [6, с.250]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предпринимаются попытки представить типологии русских и российских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ментальностей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В.Е. Семенов предлагает следующею типологию ментальности: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российская,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коллективистко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социалистическая, индустриально - капиталистическая, криминально - мафиозная и мозаично - конформистская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псевдоментальность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. [4, с.485]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З. В.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Сикевич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подчеркивает, что: " Вообще национальный характер - самый «неуловимый» феномен этничности, хотя этим понятием пользуются и политики, и ученые, и писатели, зачастую имея ввиду различные проявления этнического сознания и поведения». [5, с.95]</w:t>
      </w:r>
      <w:r w:rsidRPr="004E6C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Безусловно, существуют отличия поведения и психологического склада по профессиональному и социальному признаку. "Сибиряк не похож по своему поведению на волгаря, а питерский учитель - на тамбовского фермера. Тем не менее, существуют некоторые доминанты национального характера, которые относительно стабильны и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большинства представителей одной этнической общности"</w:t>
      </w:r>
      <w:r w:rsidRPr="004E6C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Секевич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рассматривает этнические стереотипы в качестве формы измерения правления национального характера, выступающие в качестве эмпирического индикатора характерологического своеобразия этнической общности. Исследователь считает, что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этностериатипы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на основе избирательности, еще одной особенности национального самосознания. Когда оно обращено на отличительные черты "чужих" народов,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самовыделение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черт неизбежно осуществляется путем сопоставления со свойствами этнической общности. Вместе с тем представление о типичных чертах собственного народа в определенной мере зависит от свойств тех народов, с которыми он чаще всего контактирует. Иными словами, стереотип формируется при сравнении "нас " с "не с нами", хотя далеко не всегда это сравнение осознается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этнофором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». [6, с.170]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науке под этническими стереотипами принято понимать   - социально обусловленный схематический   стандартный образ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этнофора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этнической общности </w:t>
      </w: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автостереотип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о других этнических общностях (</w:t>
      </w:r>
      <w:proofErr w:type="spellStart"/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гетеростереотип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). [6]</w:t>
      </w:r>
      <w:r w:rsidRPr="004E6C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9C436C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З.В.Сикевич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провела серьезное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этносоциальное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фактора этничности в массовом сознании. Объектом исследования стало русское население Санкт - Петербурга. Как отмечает автор проекта "Национальное самосознание русских»: "Проведение опроса именно в Петербурге могло придать обнаруженным тенденциям некоторую особую "окраску", однако, судя по данным исследования советского менталитета, включавшего в выборку кроме Санкт - Петербурга еще и русскую глубинку (г. Мичуринск Тамбовской области), столицу донского казачества (г. Новочеркасск) и один из центров компактного проживания русских на Украине (г. Черновцы) ...  &lt;</w:t>
      </w:r>
      <w:proofErr w:type="gram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...&gt;...</w:t>
      </w:r>
      <w:proofErr w:type="gram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ибо сходство  национального самосознания петербургского профессора, донского казака, безработного инженера из Минусинска и  черновицкого предпринимателя как раз и превращает отдельных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этнофоров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членов единой общности, в нацию".</w:t>
      </w:r>
    </w:p>
    <w:p w:rsidR="009C436C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полученных материалов (представлении людей о себе самих) исследователь попытался представить " образ" типичного русского, получился вот такой портрет. [5, с.95]</w:t>
      </w:r>
    </w:p>
    <w:p w:rsidR="009C436C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C436C" w:rsidRPr="004E6CA0" w:rsidRDefault="009C436C" w:rsidP="009C436C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русского человека 90 е годы XX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C436C" w:rsidRPr="004E6CA0" w:rsidRDefault="009C436C" w:rsidP="009C436C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proofErr w:type="gramStart"/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З.В. </w:t>
      </w:r>
      <w:proofErr w:type="spellStart"/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Сикевич</w:t>
      </w:r>
      <w:proofErr w:type="spellEnd"/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436C" w:rsidRPr="004E6CA0" w:rsidRDefault="009C436C" w:rsidP="009C436C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E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к числу ответивших на вопрос)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отвечающих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Доброта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Терпение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Гостеприимство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18, 4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Трудолюбие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17.4.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5.Лень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Дружелюбие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12, 0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Широта души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Патриотизм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Доверчивость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9, 5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10.Открытость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8, 4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Пьянство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Отзывчивость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Простота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Щедрость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6, 5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Честность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Терпимость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Сострадание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9C436C" w:rsidRPr="004E6CA0" w:rsidTr="00FD6705">
        <w:tc>
          <w:tcPr>
            <w:tcW w:w="4785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Безалаберность</w:t>
            </w:r>
          </w:p>
        </w:tc>
        <w:tc>
          <w:tcPr>
            <w:tcW w:w="4786" w:type="dxa"/>
          </w:tcPr>
          <w:p w:rsidR="009C436C" w:rsidRPr="004E6CA0" w:rsidRDefault="009C436C" w:rsidP="00FD670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</w:tbl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автора, данный портрет показывает эмоциональный и мифологический характер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автостереотипа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"русские о русских".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Безусловно, со временем под влиянием социально - исторических изменений будет меняться и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этоностериотип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«ядро остается неизменным,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 национальный характер"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использованной литературы</w:t>
      </w: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Вежбиская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 Язык. Культура. Познание. / А.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Вежбитская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М., 1997. – 71с.</w:t>
      </w:r>
    </w:p>
    <w:p w:rsidR="009C436C" w:rsidRPr="004E6CA0" w:rsidRDefault="009C436C" w:rsidP="009C436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Лурье С.В. Метаморфозы традиционного сознания. Опыт разработки теоретических основ этнопсихологии и их применения к анализу исторического и этнографического материала. / С.В. Лурье. - </w:t>
      </w:r>
      <w:proofErr w:type="gram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1994.- 405с.</w:t>
      </w:r>
    </w:p>
    <w:p w:rsidR="009C436C" w:rsidRPr="004E6CA0" w:rsidRDefault="009C436C" w:rsidP="009C436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Лурье С.В. Историческая этнология. / </w:t>
      </w: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С.В.Лурье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М., 1998. – 253с.</w:t>
      </w:r>
    </w:p>
    <w:p w:rsidR="009C436C" w:rsidRPr="004E6CA0" w:rsidRDefault="009C436C" w:rsidP="009C436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 В.Е. Типология российских менталитетов и имманентная идеология России \\Социальная психология в трудах отечественных психологов. </w:t>
      </w:r>
      <w:proofErr w:type="gram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2000. С. 485-492. </w:t>
      </w:r>
    </w:p>
    <w:p w:rsidR="009C436C" w:rsidRPr="004E6CA0" w:rsidRDefault="009C436C" w:rsidP="009C436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Сикевич</w:t>
      </w:r>
      <w:proofErr w:type="spell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национальное самосознание русских: Учебное пособие. -  </w:t>
      </w:r>
      <w:proofErr w:type="gramStart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Механик, 1996. - С. 94-95.</w:t>
      </w:r>
    </w:p>
    <w:p w:rsidR="009C436C" w:rsidRPr="004E6CA0" w:rsidRDefault="009C436C" w:rsidP="009C436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CA0">
        <w:rPr>
          <w:rFonts w:ascii="Times New Roman" w:hAnsi="Times New Roman" w:cs="Times New Roman"/>
          <w:sz w:val="28"/>
          <w:szCs w:val="28"/>
        </w:rPr>
        <w:t xml:space="preserve">Стефаненко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Т.Г.Этнопсихология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: Учебник для вузов / Т.Г. </w:t>
      </w:r>
      <w:proofErr w:type="gramStart"/>
      <w:r w:rsidRPr="004E6CA0">
        <w:rPr>
          <w:rFonts w:ascii="Times New Roman" w:hAnsi="Times New Roman" w:cs="Times New Roman"/>
          <w:sz w:val="28"/>
          <w:szCs w:val="28"/>
        </w:rPr>
        <w:t>Стефаненко .</w:t>
      </w:r>
      <w:proofErr w:type="gramEnd"/>
      <w:r w:rsidRPr="004E6CA0">
        <w:rPr>
          <w:rFonts w:ascii="Times New Roman" w:hAnsi="Times New Roman" w:cs="Times New Roman"/>
          <w:sz w:val="28"/>
          <w:szCs w:val="28"/>
        </w:rPr>
        <w:t xml:space="preserve"> - 4 е изд.,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4E6CA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E6CA0">
        <w:rPr>
          <w:rFonts w:ascii="Times New Roman" w:hAnsi="Times New Roman" w:cs="Times New Roman"/>
          <w:sz w:val="28"/>
          <w:szCs w:val="28"/>
        </w:rPr>
        <w:t xml:space="preserve"> доп. - М. : Аспект Пресс, 2006.  – 345с.</w:t>
      </w:r>
    </w:p>
    <w:p w:rsidR="009C436C" w:rsidRPr="004E6CA0" w:rsidRDefault="009C436C" w:rsidP="009C436C">
      <w:pPr>
        <w:numPr>
          <w:ilvl w:val="0"/>
          <w:numId w:val="1"/>
        </w:numPr>
        <w:tabs>
          <w:tab w:val="left" w:pos="1260"/>
        </w:tabs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E6CA0"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>, Э. В. Этническая идентификация русских в коммуникативном пространстве крупного полиэтнического города.</w:t>
      </w:r>
      <w:r w:rsidRPr="004E6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</w:t>
      </w:r>
      <w:r w:rsidRPr="004E6C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. соц. наук /Э.В. </w:t>
      </w:r>
      <w:proofErr w:type="spellStart"/>
      <w:r w:rsidRPr="004E6CA0"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. – Уфа 2009. –192 с. – </w:t>
      </w:r>
      <w:r w:rsidRPr="004E6CA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</w:t>
      </w:r>
      <w:proofErr w:type="gramStart"/>
      <w:r w:rsidRPr="004E6CA0">
        <w:rPr>
          <w:rFonts w:ascii="Times New Roman" w:hAnsi="Times New Roman" w:cs="Times New Roman"/>
          <w:sz w:val="28"/>
          <w:szCs w:val="28"/>
          <w:shd w:val="clear" w:color="auto" w:fill="FFFFFF"/>
        </w:rPr>
        <w:t>. версия</w:t>
      </w:r>
      <w:proofErr w:type="gramEnd"/>
      <w:r w:rsidRPr="004E6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6CA0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</w:t>
      </w:r>
      <w:proofErr w:type="spellEnd"/>
      <w:r w:rsidRPr="004E6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E6CA0">
        <w:rPr>
          <w:rFonts w:ascii="Times New Roman" w:hAnsi="Times New Roman" w:cs="Times New Roman"/>
          <w:sz w:val="28"/>
          <w:szCs w:val="28"/>
          <w:shd w:val="clear" w:color="auto" w:fill="FFFFFF"/>
        </w:rPr>
        <w:t>публ</w:t>
      </w:r>
      <w:proofErr w:type="spellEnd"/>
      <w:r w:rsidRPr="004E6CA0">
        <w:rPr>
          <w:rFonts w:ascii="Times New Roman" w:hAnsi="Times New Roman" w:cs="Times New Roman"/>
          <w:sz w:val="28"/>
          <w:szCs w:val="28"/>
          <w:shd w:val="clear" w:color="auto" w:fill="FFFFFF"/>
        </w:rPr>
        <w:t>. – Доступ из „Электронная библиотека: Диссертации “.</w:t>
      </w:r>
    </w:p>
    <w:p w:rsidR="009C436C" w:rsidRPr="004E6CA0" w:rsidRDefault="009C436C" w:rsidP="009C436C">
      <w:pPr>
        <w:numPr>
          <w:ilvl w:val="0"/>
          <w:numId w:val="1"/>
        </w:numPr>
        <w:tabs>
          <w:tab w:val="left" w:pos="1260"/>
        </w:tabs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CA0"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 w:rsidRPr="004E6CA0">
        <w:rPr>
          <w:rFonts w:ascii="Times New Roman" w:hAnsi="Times New Roman" w:cs="Times New Roman"/>
          <w:sz w:val="28"/>
          <w:szCs w:val="28"/>
        </w:rPr>
        <w:t xml:space="preserve">, К.Н., Скворцов, Н.Г. Испытание национального самосознания. </w:t>
      </w:r>
      <w:proofErr w:type="gramStart"/>
      <w:r w:rsidRPr="004E6CA0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E6CA0">
        <w:rPr>
          <w:rFonts w:ascii="Times New Roman" w:hAnsi="Times New Roman" w:cs="Times New Roman"/>
          <w:sz w:val="28"/>
          <w:szCs w:val="28"/>
        </w:rPr>
        <w:t xml:space="preserve"> 1993. – 138с.</w:t>
      </w:r>
    </w:p>
    <w:p w:rsidR="009C436C" w:rsidRPr="004E6CA0" w:rsidRDefault="009C436C" w:rsidP="009C436C">
      <w:pPr>
        <w:tabs>
          <w:tab w:val="left" w:pos="126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6C" w:rsidRPr="004E6CA0" w:rsidRDefault="009C436C" w:rsidP="009C436C">
      <w:pPr>
        <w:spacing w:after="120" w:line="240" w:lineRule="auto"/>
        <w:ind w:firstLine="1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6C" w:rsidRPr="004E6CA0" w:rsidRDefault="009C436C" w:rsidP="009C436C">
      <w:pPr>
        <w:rPr>
          <w:sz w:val="28"/>
          <w:szCs w:val="28"/>
        </w:rPr>
      </w:pPr>
    </w:p>
    <w:p w:rsidR="00F44963" w:rsidRDefault="00F44963">
      <w:bookmarkStart w:id="0" w:name="_GoBack"/>
      <w:bookmarkEnd w:id="0"/>
    </w:p>
    <w:sectPr w:rsidR="00F4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59F4"/>
    <w:multiLevelType w:val="hybridMultilevel"/>
    <w:tmpl w:val="6ADA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6C"/>
    <w:rsid w:val="009C436C"/>
    <w:rsid w:val="00F44963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8E8F-7762-4E6A-809F-00F39411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2564</Words>
  <Characters>14615</Characters>
  <Application>Microsoft Office Word</Application>
  <DocSecurity>0</DocSecurity>
  <Lines>121</Lines>
  <Paragraphs>34</Paragraphs>
  <ScaleCrop>false</ScaleCrop>
  <Company/>
  <LinksUpToDate>false</LinksUpToDate>
  <CharactersWithSpaces>17145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2017-11-17T06:54:00Z</dcterms:created>
  <dcterms:modified xsi:type="dcterms:W3CDTF">2017-11-17T06:54:00Z</dcterms:modified>
</cp:coreProperties>
</file>